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02">
      <w:pPr>
        <w:pStyle w:val="Subtitle"/>
        <w:rPr>
          <w:sz w:val="20"/>
          <w:szCs w:val="20"/>
          <w:vertAlign w:val="baseline"/>
        </w:rPr>
      </w:pPr>
      <w:r w:rsidDel="00000000" w:rsidR="00000000" w:rsidRPr="00000000">
        <w:rPr>
          <w:b w:val="1"/>
          <w:smallCaps w:val="1"/>
          <w:sz w:val="20"/>
          <w:szCs w:val="20"/>
          <w:vertAlign w:val="baseline"/>
          <w:rtl w:val="0"/>
        </w:rPr>
        <w:t xml:space="preserve">DEVELOPING AS A PROFESSIONAL EDUCATOR </w:t>
      </w: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rtl w:val="0"/>
        </w:rPr>
      </w:r>
    </w:p>
    <w:tbl>
      <w:tblPr>
        <w:tblStyle w:val="Table1"/>
        <w:tblW w:w="13890.0" w:type="dxa"/>
        <w:jc w:val="left"/>
        <w:tblInd w:w="600.0" w:type="dxa"/>
        <w:tblLayout w:type="fixed"/>
        <w:tblLook w:val="0000"/>
      </w:tblPr>
      <w:tblGrid>
        <w:gridCol w:w="1440"/>
        <w:gridCol w:w="4560"/>
        <w:gridCol w:w="975"/>
        <w:gridCol w:w="6915"/>
        <w:tblGridChange w:id="0">
          <w:tblGrid>
            <w:gridCol w:w="1440"/>
            <w:gridCol w:w="4560"/>
            <w:gridCol w:w="975"/>
            <w:gridCol w:w="6915"/>
          </w:tblGrid>
        </w:tblGridChange>
      </w:tblGrid>
      <w:tr>
        <w:trPr>
          <w:cantSplit w:val="0"/>
          <w:tblHeader w:val="0"/>
        </w:trPr>
        <w:tc>
          <w:tcPr>
            <w:vAlign w:val="top"/>
          </w:tcPr>
          <w:p w:rsidR="00000000" w:rsidDel="00000000" w:rsidP="00000000" w:rsidRDefault="00000000" w:rsidRPr="00000000" w14:paraId="00000004">
            <w:pPr>
              <w:pStyle w:val="Heading1"/>
              <w:jc w:val="left"/>
              <w:rPr>
                <w:vertAlign w:val="baseline"/>
              </w:rPr>
            </w:pPr>
            <w:r w:rsidDel="00000000" w:rsidR="00000000" w:rsidRPr="00000000">
              <w:rPr>
                <w:b w:val="1"/>
                <w:vertAlign w:val="baseline"/>
                <w:rtl w:val="0"/>
              </w:rPr>
              <w:t xml:space="preserve">Employee:</w:t>
            </w:r>
            <w:r w:rsidDel="00000000" w:rsidR="00000000" w:rsidRPr="00000000">
              <w:rPr>
                <w:rtl w:val="0"/>
              </w:rPr>
            </w:r>
          </w:p>
        </w:tc>
        <w:tc>
          <w:tcPr>
            <w:vAlign w:val="top"/>
          </w:tcPr>
          <w:p w:rsidR="00000000" w:rsidDel="00000000" w:rsidP="00000000" w:rsidRDefault="00000000" w:rsidRPr="00000000" w14:paraId="00000005">
            <w:pPr>
              <w:pStyle w:val="Heading1"/>
              <w:jc w:val="left"/>
              <w:rPr>
                <w:b w:val="0"/>
                <w:vertAlign w:val="baseline"/>
              </w:rPr>
            </w:pPr>
            <w:r w:rsidDel="00000000" w:rsidR="00000000" w:rsidRPr="00000000">
              <w:rPr>
                <w:b w:val="0"/>
                <w:vertAlign w:val="baseline"/>
                <w:rtl w:val="0"/>
              </w:rPr>
              <w:t xml:space="preserve">     </w:t>
            </w:r>
          </w:p>
        </w:tc>
        <w:tc>
          <w:tcPr>
            <w:vAlign w:val="top"/>
          </w:tcPr>
          <w:p w:rsidR="00000000" w:rsidDel="00000000" w:rsidP="00000000" w:rsidRDefault="00000000" w:rsidRPr="00000000" w14:paraId="00000006">
            <w:pPr>
              <w:pStyle w:val="Heading1"/>
              <w:jc w:val="left"/>
              <w:rPr>
                <w:vertAlign w:val="baseline"/>
              </w:rPr>
            </w:pPr>
            <w:r w:rsidDel="00000000" w:rsidR="00000000" w:rsidRPr="00000000">
              <w:rPr>
                <w:b w:val="1"/>
                <w:vertAlign w:val="baseline"/>
                <w:rtl w:val="0"/>
              </w:rPr>
              <w:t xml:space="preserve">School:</w:t>
            </w:r>
            <w:r w:rsidDel="00000000" w:rsidR="00000000" w:rsidRPr="00000000">
              <w:rPr>
                <w:rtl w:val="0"/>
              </w:rPr>
            </w:r>
          </w:p>
        </w:tc>
        <w:tc>
          <w:tcPr>
            <w:vAlign w:val="top"/>
          </w:tcPr>
          <w:p w:rsidR="00000000" w:rsidDel="00000000" w:rsidP="00000000" w:rsidRDefault="00000000" w:rsidRPr="00000000" w14:paraId="00000007">
            <w:pPr>
              <w:pStyle w:val="Heading1"/>
              <w:jc w:val="left"/>
              <w:rPr>
                <w:b w:val="0"/>
                <w:vertAlign w:val="baseline"/>
              </w:rPr>
            </w:pPr>
            <w:r w:rsidDel="00000000" w:rsidR="00000000" w:rsidRPr="00000000">
              <w:rPr>
                <w:rtl w:val="0"/>
              </w:rPr>
            </w:r>
          </w:p>
        </w:tc>
      </w:tr>
    </w:tbl>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vertAlign w:val="baseline"/>
          <w:rtl w:val="0"/>
        </w:rPr>
        <w:t xml:space="preserve">STANDARD SIX</w:t>
      </w:r>
      <w:r w:rsidDel="00000000" w:rsidR="00000000" w:rsidRPr="00000000">
        <w:rPr>
          <w:rtl w:val="0"/>
        </w:rPr>
      </w:r>
    </w:p>
    <w:p w:rsidR="00000000" w:rsidDel="00000000" w:rsidP="00000000" w:rsidRDefault="00000000" w:rsidRPr="00000000" w14:paraId="0000000A">
      <w:pPr>
        <w:pStyle w:val="Heading2"/>
        <w:rPr>
          <w:vertAlign w:val="baseline"/>
        </w:rPr>
      </w:pPr>
      <w:r w:rsidDel="00000000" w:rsidR="00000000" w:rsidRPr="00000000">
        <w:rPr>
          <w:b w:val="1"/>
          <w:vertAlign w:val="baseline"/>
          <w:rtl w:val="0"/>
        </w:rPr>
        <w:t xml:space="preserve">DEVELOPING AS A PROFESSIONAL EDUCATOR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C">
      <w:pPr>
        <w:ind w:left="630" w:right="600" w:firstLine="0"/>
        <w:rPr>
          <w:i w:val="0"/>
          <w:sz w:val="20"/>
          <w:szCs w:val="20"/>
          <w:vertAlign w:val="baseline"/>
        </w:rPr>
      </w:pPr>
      <w:r w:rsidDel="00000000" w:rsidR="00000000" w:rsidRPr="00000000">
        <w:rPr>
          <w:i w:val="1"/>
          <w:sz w:val="20"/>
          <w:szCs w:val="20"/>
          <w:vertAlign w:val="baseline"/>
          <w:rtl w:val="0"/>
        </w:rPr>
        <w:t xml:space="preserve">The elements represent the key components of each standard.  It is </w:t>
      </w:r>
      <w:r w:rsidDel="00000000" w:rsidR="00000000" w:rsidRPr="00000000">
        <w:rPr>
          <w:i w:val="1"/>
          <w:sz w:val="20"/>
          <w:szCs w:val="20"/>
          <w:u w:val="single"/>
          <w:vertAlign w:val="baseline"/>
          <w:rtl w:val="0"/>
        </w:rPr>
        <w:t xml:space="preserve">not</w:t>
      </w:r>
      <w:r w:rsidDel="00000000" w:rsidR="00000000" w:rsidRPr="00000000">
        <w:rPr>
          <w:i w:val="1"/>
          <w:sz w:val="20"/>
          <w:szCs w:val="20"/>
          <w:vertAlign w:val="baseline"/>
          <w:rtl w:val="0"/>
        </w:rPr>
        <w:t xml:space="preserve"> necessary to write an individual goal or objective for each element.  The elements are listed as a guide</w:t>
      </w:r>
      <w:r w:rsidDel="00000000" w:rsidR="00000000" w:rsidRPr="00000000">
        <w:rPr>
          <w:i w:val="1"/>
          <w:sz w:val="20"/>
          <w:szCs w:val="20"/>
          <w:rtl w:val="0"/>
        </w:rPr>
        <w:t xml:space="preserve"> </w:t>
      </w:r>
      <w:r w:rsidDel="00000000" w:rsidR="00000000" w:rsidRPr="00000000">
        <w:rPr>
          <w:i w:val="1"/>
          <w:sz w:val="20"/>
          <w:szCs w:val="20"/>
          <w:vertAlign w:val="baseline"/>
          <w:rtl w:val="0"/>
        </w:rPr>
        <w:t xml:space="preserve">to assist in defining and developing goals &amp; objectives.  Numbers are provided for ease of reference.  They do not imply priority or ordering of the elements.</w:t>
      </w:r>
      <w:r w:rsidDel="00000000" w:rsidR="00000000" w:rsidRPr="00000000">
        <w:rPr>
          <w:rtl w:val="0"/>
        </w:rPr>
      </w:r>
    </w:p>
    <w:p w:rsidR="00000000" w:rsidDel="00000000" w:rsidP="00000000" w:rsidRDefault="00000000" w:rsidRPr="00000000" w14:paraId="0000000D">
      <w:pPr>
        <w:jc w:val="both"/>
        <w:rPr>
          <w:i w:val="0"/>
          <w:sz w:val="20"/>
          <w:szCs w:val="20"/>
          <w:vertAlign w:val="baseline"/>
        </w:rPr>
      </w:pPr>
      <w:r w:rsidDel="00000000" w:rsidR="00000000" w:rsidRPr="00000000">
        <w:rPr>
          <w:rtl w:val="0"/>
        </w:rPr>
      </w:r>
    </w:p>
    <w:tbl>
      <w:tblPr>
        <w:tblStyle w:val="Table2"/>
        <w:tblW w:w="13920.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107"/>
        <w:gridCol w:w="7188.000000000001"/>
        <w:gridCol w:w="2625"/>
        <w:tblGridChange w:id="0">
          <w:tblGrid>
            <w:gridCol w:w="4107"/>
            <w:gridCol w:w="7188.000000000001"/>
            <w:gridCol w:w="2625"/>
          </w:tblGrid>
        </w:tblGridChange>
      </w:tblGrid>
      <w:tr>
        <w:trPr>
          <w:cantSplit w:val="0"/>
          <w:trHeight w:val="24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E">
            <w:pPr>
              <w:rPr>
                <w:b w:val="0"/>
                <w:vertAlign w:val="baseline"/>
              </w:rPr>
            </w:pPr>
            <w:r w:rsidDel="00000000" w:rsidR="00000000" w:rsidRPr="00000000">
              <w:rPr>
                <w:b w:val="1"/>
                <w:vertAlign w:val="baseline"/>
                <w:rtl w:val="0"/>
              </w:rPr>
              <w:t xml:space="preserve">Elements: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Goals &amp; Objectives:</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0">
            <w:pPr>
              <w:rPr>
                <w:b w:val="0"/>
                <w:vertAlign w:val="baseline"/>
              </w:rPr>
            </w:pPr>
            <w:r w:rsidDel="00000000" w:rsidR="00000000" w:rsidRPr="00000000">
              <w:rPr>
                <w:b w:val="1"/>
                <w:vertAlign w:val="baseline"/>
                <w:rtl w:val="0"/>
              </w:rPr>
              <w:t xml:space="preserve">Evidenced by:</w:t>
            </w:r>
            <w:r w:rsidDel="00000000" w:rsidR="00000000" w:rsidRPr="00000000">
              <w:rPr>
                <w:rtl w:val="0"/>
              </w:rPr>
            </w:r>
          </w:p>
        </w:tc>
      </w:tr>
      <w:tr>
        <w:trPr>
          <w:cantSplit w:val="1"/>
          <w:trHeight w:val="67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1">
            <w:pPr>
              <w:ind w:left="450" w:hanging="450"/>
              <w:rPr>
                <w:vertAlign w:val="baseline"/>
              </w:rPr>
            </w:pPr>
            <w:r w:rsidDel="00000000" w:rsidR="00000000" w:rsidRPr="00000000">
              <w:rPr>
                <w:rtl w:val="0"/>
              </w:rPr>
              <w:t xml:space="preserve">6A: Teachers continuously examine and evaluate their own practice to intentionally use new understandings and perspectives as opportunities for professional growth and effectiveness.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2">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3">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4">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6">
            <w:pPr>
              <w:rPr>
                <w:sz w:val="22"/>
                <w:szCs w:val="22"/>
                <w:vertAlign w:val="baseline"/>
              </w:rPr>
            </w:pPr>
            <w:r w:rsidDel="00000000" w:rsidR="00000000" w:rsidRPr="00000000">
              <w:rPr>
                <w:sz w:val="22"/>
                <w:szCs w:val="22"/>
                <w:vertAlign w:val="baseline"/>
                <w:rtl w:val="0"/>
              </w:rPr>
              <w:t xml:space="preserve">     </w:t>
            </w:r>
          </w:p>
        </w:tc>
        <w:tc>
          <w:tcPr>
            <w:vMerge w:val="restart"/>
            <w:tcBorders>
              <w:top w:color="000000" w:space="0" w:sz="4" w:val="single"/>
              <w:left w:color="000000" w:space="0" w:sz="4" w:val="single"/>
            </w:tcBorders>
            <w:vAlign w:val="top"/>
          </w:tcPr>
          <w:p w:rsidR="00000000" w:rsidDel="00000000" w:rsidP="00000000" w:rsidRDefault="00000000" w:rsidRPr="00000000" w14:paraId="00000017">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8">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9">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A">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B">
            <w:pPr>
              <w:rPr>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tc>
      </w:tr>
      <w:tr>
        <w:trPr>
          <w:cantSplit w:val="1"/>
          <w:trHeight w:val="1135"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C">
            <w:pPr>
              <w:ind w:left="450" w:hanging="450"/>
              <w:rPr>
                <w:vertAlign w:val="baseline"/>
              </w:rPr>
            </w:pPr>
            <w:r w:rsidDel="00000000" w:rsidR="00000000" w:rsidRPr="00000000">
              <w:rPr>
                <w:rtl w:val="0"/>
              </w:rPr>
              <w:t xml:space="preserve">6B: Teachers amplify their expertise with ongoing professional learning experiences that address subject-matter content, instruction and assessment, social–emotional support, and equitable practices, that enable each student—including historically and persistently underserved students—to reach identified goals.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rPr>
          <w:cantSplit w:val="1"/>
          <w:trHeight w:val="89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F">
            <w:pPr>
              <w:ind w:left="450" w:hanging="450"/>
              <w:rPr>
                <w:vertAlign w:val="baseline"/>
              </w:rPr>
            </w:pPr>
            <w:r w:rsidDel="00000000" w:rsidR="00000000" w:rsidRPr="00000000">
              <w:rPr>
                <w:rtl w:val="0"/>
              </w:rPr>
              <w:t xml:space="preserve">6C: Teachers collaborate with colleagues in developing a common understanding of effective practices for students’ academic and social–emotional development. This common understanding informs teaching and supports practices that meet students’ diverse learning interests, strengths, and needs.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rPr>
          <w:cantSplit w:val="1"/>
          <w:trHeight w:val="67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2">
            <w:pPr>
              <w:ind w:left="450" w:hanging="450"/>
              <w:rPr>
                <w:vertAlign w:val="baseline"/>
              </w:rPr>
            </w:pPr>
            <w:r w:rsidDel="00000000" w:rsidR="00000000" w:rsidRPr="00000000">
              <w:rPr>
                <w:rtl w:val="0"/>
              </w:rPr>
              <w:t xml:space="preserve">6D: Teachers collaborate with families, guardians, and community partners to develop and use a common language, strategies, and communication around in-school and out-of-school learning experiences and to align services and initiatives that affect each student’s growth and well-being.</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rPr>
          <w:cantSplit w:val="1"/>
          <w:trHeight w:val="67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5">
            <w:pPr>
              <w:ind w:left="450" w:hanging="450"/>
              <w:rPr>
                <w:vertAlign w:val="baseline"/>
              </w:rPr>
            </w:pPr>
            <w:r w:rsidDel="00000000" w:rsidR="00000000" w:rsidRPr="00000000">
              <w:rPr>
                <w:rtl w:val="0"/>
              </w:rPr>
              <w:t xml:space="preserve">6E: Teachers demonstrate honesty, trustworthiness, and integrity in their professional behavior and decision-making as they conduct their responsibilities with a focus on each student’s learning and well-being.</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0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8">
            <w:pPr>
              <w:ind w:left="450" w:hanging="450"/>
              <w:rPr>
                <w:vertAlign w:val="baseline"/>
              </w:rPr>
            </w:pPr>
            <w:r w:rsidDel="00000000" w:rsidR="00000000" w:rsidRPr="00000000">
              <w:rPr>
                <w:rtl w:val="0"/>
              </w:rPr>
              <w:t xml:space="preserve">6F: Teachers strive to eradicate barriers to student access, engagement, opportunities and positive outcomes by acting with integrity and fairness so that every student has the quality experiences necessary to learn and thrive.</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11"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B">
            <w:pPr>
              <w:ind w:left="450" w:hanging="450"/>
              <w:rPr>
                <w:vertAlign w:val="baseline"/>
              </w:rPr>
            </w:pPr>
            <w:r w:rsidDel="00000000" w:rsidR="00000000" w:rsidRPr="00000000">
              <w:rPr>
                <w:rtl w:val="0"/>
              </w:rPr>
              <w:t xml:space="preserve">6G: Teachers cultivate and sustain personal motivation, commitment, energy, and health by balancing continuous professional growth with their own physical and emotional wellness.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Signatures: </w:t>
      </w:r>
      <w:r w:rsidDel="00000000" w:rsidR="00000000" w:rsidRPr="00000000">
        <w:rPr>
          <w:rtl w:val="0"/>
        </w:rPr>
        <w:t xml:space="preserve">_________________________________________________________________________________</w:t>
      </w:r>
      <w:r w:rsidDel="00000000" w:rsidR="00000000" w:rsidRPr="00000000">
        <w:rPr>
          <w:rtl w:val="0"/>
        </w:rPr>
        <w:t xml:space="preserve">________________________</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w:t>
        <w:tab/>
        <w:t xml:space="preserve">   Administrator</w:t>
        <w:tab/>
        <w:tab/>
        <w:tab/>
        <w:tab/>
        <w:tab/>
        <w:tab/>
        <w:t xml:space="preserve">Date</w:t>
      </w:r>
      <w:r w:rsidDel="00000000" w:rsidR="00000000" w:rsidRPr="00000000">
        <w:rPr>
          <w:rtl w:val="0"/>
        </w:rPr>
      </w:r>
    </w:p>
    <w:sectPr>
      <w:footerReference r:id="rId6" w:type="default"/>
      <w:pgSz w:h="12240" w:w="15840" w:orient="landscape"/>
      <w:pgMar w:bottom="288" w:top="245" w:left="288" w:right="288"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b w:val="1"/>
        <w:sz w:val="18"/>
        <w:szCs w:val="18"/>
        <w:rtl w:val="0"/>
      </w:rPr>
      <w:t xml:space="preserve">Revised 9/16/2025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jc w:val="center"/>
    </w:pPr>
    <w:rPr>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mallCap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